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lang w:eastAsia="zh-CN"/>
        </w:rPr>
        <w:t>项目</w:t>
      </w:r>
      <w:r>
        <w:rPr>
          <w:rFonts w:hint="eastAsia"/>
        </w:rPr>
        <w:t>采购内容及要求</w:t>
      </w:r>
    </w:p>
    <w:p>
      <w:pPr>
        <w:keepNext w:val="0"/>
        <w:keepLines w:val="0"/>
        <w:pageBreakBefore w:val="0"/>
        <w:widowControl/>
        <w:kinsoku/>
        <w:wordWrap/>
        <w:overflowPunct/>
        <w:topLinePunct w:val="0"/>
        <w:autoSpaceDE/>
        <w:autoSpaceDN/>
        <w:bidi w:val="0"/>
        <w:adjustRightInd/>
        <w:snapToGrid/>
        <w:spacing w:before="75" w:after="75" w:line="500" w:lineRule="exact"/>
        <w:jc w:val="left"/>
        <w:textAlignment w:val="auto"/>
        <w:rPr>
          <w:rFonts w:hint="eastAsia" w:ascii="仿宋_GB2312" w:hAnsi="仿宋_GB2312" w:eastAsia="仿宋_GB2312" w:cs="仿宋_GB2312"/>
          <w:b/>
          <w:color w:val="000000"/>
          <w:kern w:val="0"/>
          <w:sz w:val="32"/>
          <w:szCs w:val="32"/>
          <w:lang w:eastAsia="zh-CN"/>
        </w:rPr>
      </w:pPr>
      <w:r>
        <w:rPr>
          <w:rFonts w:hint="eastAsia" w:ascii="仿宋_GB2312" w:hAnsi="仿宋_GB2312" w:eastAsia="仿宋_GB2312" w:cs="仿宋_GB2312"/>
          <w:color w:val="000000"/>
          <w:kern w:val="0"/>
          <w:sz w:val="32"/>
          <w:szCs w:val="32"/>
        </w:rPr>
        <w:t> </w:t>
      </w:r>
      <w:r>
        <w:rPr>
          <w:rFonts w:hint="eastAsia" w:ascii="仿宋_GB2312" w:hAnsi="仿宋_GB2312" w:eastAsia="仿宋_GB2312" w:cs="仿宋_GB2312"/>
          <w:b/>
          <w:color w:val="000000"/>
          <w:kern w:val="0"/>
          <w:sz w:val="32"/>
          <w:szCs w:val="32"/>
        </w:rPr>
        <w:t>一、采购标的</w:t>
      </w:r>
      <w:r>
        <w:rPr>
          <w:rFonts w:hint="eastAsia" w:ascii="仿宋_GB2312" w:hAnsi="仿宋_GB2312" w:eastAsia="仿宋_GB2312" w:cs="仿宋_GB2312"/>
          <w:b/>
          <w:color w:val="000000"/>
          <w:kern w:val="0"/>
          <w:sz w:val="32"/>
          <w:szCs w:val="32"/>
          <w:lang w:eastAsia="zh-CN"/>
        </w:rPr>
        <w:t>及预算金额</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 w:hAnsi="仿宋" w:eastAsia="仿宋" w:cs="仿宋"/>
          <w:kern w:val="0"/>
          <w:sz w:val="32"/>
          <w:szCs w:val="32"/>
          <w:lang w:val="en-US" w:eastAsia="zh-CN"/>
        </w:rPr>
      </w:pPr>
      <w:r>
        <w:rPr>
          <w:rFonts w:hint="eastAsia" w:ascii="仿宋_GB2312" w:hAnsi="仿宋_GB2312" w:eastAsia="仿宋_GB2312" w:cs="仿宋_GB2312"/>
          <w:color w:val="000000"/>
          <w:kern w:val="0"/>
          <w:sz w:val="32"/>
          <w:szCs w:val="32"/>
        </w:rPr>
        <w:t>项目</w:t>
      </w:r>
      <w:r>
        <w:rPr>
          <w:rFonts w:hint="eastAsia" w:ascii="仿宋_GB2312" w:hAnsi="仿宋_GB2312" w:eastAsia="仿宋_GB2312" w:cs="仿宋_GB2312"/>
          <w:color w:val="000000"/>
          <w:kern w:val="0"/>
          <w:sz w:val="32"/>
          <w:szCs w:val="32"/>
          <w:lang w:eastAsia="zh-CN"/>
        </w:rPr>
        <w:t>名称</w:t>
      </w:r>
      <w:r>
        <w:rPr>
          <w:rFonts w:hint="eastAsia" w:ascii="仿宋_GB2312" w:hAnsi="仿宋_GB2312" w:eastAsia="仿宋_GB2312" w:cs="仿宋_GB2312"/>
          <w:color w:val="000000"/>
          <w:kern w:val="0"/>
          <w:sz w:val="32"/>
          <w:szCs w:val="32"/>
        </w:rPr>
        <w:t>：</w:t>
      </w:r>
      <w:r>
        <w:rPr>
          <w:rFonts w:hint="eastAsia" w:ascii="仿宋" w:hAnsi="仿宋" w:eastAsia="仿宋" w:cs="仿宋"/>
          <w:kern w:val="0"/>
          <w:sz w:val="32"/>
          <w:szCs w:val="32"/>
          <w:lang w:val="en-US" w:eastAsia="zh-CN"/>
        </w:rPr>
        <w:t>福建省科技型中小微企业金融服务平台等级保护安全测评服务</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预算金额：人民币70000元。</w:t>
      </w:r>
    </w:p>
    <w:p>
      <w:pPr>
        <w:keepNext w:val="0"/>
        <w:keepLines w:val="0"/>
        <w:pageBreakBefore w:val="0"/>
        <w:widowControl/>
        <w:kinsoku/>
        <w:wordWrap/>
        <w:overflowPunct/>
        <w:topLinePunct w:val="0"/>
        <w:autoSpaceDE/>
        <w:autoSpaceDN/>
        <w:bidi w:val="0"/>
        <w:adjustRightInd/>
        <w:snapToGrid/>
        <w:spacing w:before="75" w:after="75" w:line="500" w:lineRule="exact"/>
        <w:jc w:val="left"/>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二、技术和服务要求</w:t>
      </w:r>
    </w:p>
    <w:p>
      <w:pPr>
        <w:pStyle w:val="7"/>
        <w:keepNext w:val="0"/>
        <w:keepLines w:val="0"/>
        <w:pageBreakBefore w:val="0"/>
        <w:widowControl/>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bookmarkStart w:id="0" w:name="_Hlk45218725"/>
      <w:r>
        <w:rPr>
          <w:rStyle w:val="10"/>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Style w:val="10"/>
          <w:rFonts w:hint="eastAsia" w:ascii="仿宋_GB2312" w:hAnsi="仿宋_GB2312" w:eastAsia="仿宋_GB2312" w:cs="仿宋_GB2312"/>
          <w:color w:val="000000" w:themeColor="text1"/>
          <w:sz w:val="32"/>
          <w:szCs w:val="32"/>
          <w14:textFill>
            <w14:solidFill>
              <w14:schemeClr w14:val="tx1"/>
            </w14:solidFill>
          </w14:textFill>
        </w:rPr>
        <w:t>安全测评服务内容</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依照 GB/T 22239-2019《信息安全技术网络安全等级保护基本要求》和《行业网络安全等级保护基本要求》对被测系统进行等级保护测评，确定不同等级业务系统当前安全防护现状，以及与国家和行业等级保护要求间的差距；分析其所面临的威胁及其存在的脆弱性，提出有针对性的抵御威胁的防护策略和整改措施，为防范和化解信息安全风险，将风险控制在可接受的水平，最大限度地防止由于信息系统安全事件引发安全事故，全面提高信息系统安全防护水平提供科学依据。</w:t>
      </w:r>
    </w:p>
    <w:p>
      <w:pPr>
        <w:pStyle w:val="7"/>
        <w:keepNext w:val="0"/>
        <w:keepLines w:val="0"/>
        <w:pageBreakBefore w:val="0"/>
        <w:widowControl/>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Style w:val="10"/>
          <w:rFonts w:hint="eastAsia" w:ascii="仿宋_GB2312" w:hAnsi="仿宋_GB2312" w:eastAsia="仿宋_GB2312" w:cs="仿宋_GB2312"/>
          <w:color w:val="000000" w:themeColor="text1"/>
          <w:sz w:val="32"/>
          <w:szCs w:val="32"/>
          <w14:textFill>
            <w14:solidFill>
              <w14:schemeClr w14:val="tx1"/>
            </w14:solidFill>
          </w14:textFill>
        </w:rPr>
        <w:t>安全测评服务要求</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等级测评将覆盖安全物理环境、安全通信网络、安全区域边界、安全计算环境、安全管理中心、安全管理制度等方面的内容，内容包括但不限于以下内容：</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总体要求测评：包括总体技术要求、总体管理要求；</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安全技术测评：安全物理环境、安全通信网络、安全区域边界、安全计算环境、安全管理中心等五个方面的安全测评；</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安全管理测评：安全管理制度、安全管理机构、安全管理人员、安全建设管理和安全运维管理等五个方面的安全控制测评；</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对于在测评过程中采用的测评方法、测评所使用的工具等、测评所覆盖的各方面，需符合信息安全等级保护主管部门要求，包括但不仅仅包括网络隐患检测工具、数据库漏洞检测工具、应用安全检测工具、网站安全检测工具等。</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rPr>
        <w:t>5</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本次项目针对</w:t>
      </w:r>
      <w:r>
        <w:rPr>
          <w:rFonts w:hint="eastAsia" w:ascii="仿宋_GB2312" w:hAnsi="仿宋_GB2312" w:eastAsia="仿宋_GB2312" w:cs="仿宋_GB2312"/>
          <w:color w:val="000000"/>
          <w:kern w:val="0"/>
          <w:sz w:val="32"/>
          <w:szCs w:val="32"/>
          <w:lang w:val="en-US" w:eastAsia="zh-CN"/>
        </w:rPr>
        <w:t>我单位</w:t>
      </w:r>
      <w:r>
        <w:rPr>
          <w:rFonts w:hint="eastAsia" w:ascii="仿宋_GB2312" w:hAnsi="仿宋_GB2312" w:eastAsia="仿宋_GB2312" w:cs="仿宋_GB2312"/>
          <w:color w:val="000000"/>
          <w:kern w:val="0"/>
          <w:sz w:val="32"/>
          <w:szCs w:val="32"/>
        </w:rPr>
        <w:t>三级系统</w:t>
      </w:r>
      <w:r>
        <w:rPr>
          <w:rFonts w:hint="eastAsia" w:ascii="仿宋_GB2312" w:hAnsi="仿宋_GB2312" w:eastAsia="仿宋_GB2312" w:cs="仿宋_GB2312"/>
          <w:color w:val="000000"/>
          <w:kern w:val="0"/>
          <w:sz w:val="32"/>
          <w:szCs w:val="32"/>
          <w:lang w:val="en-US" w:eastAsia="zh-CN"/>
        </w:rPr>
        <w:t>等保测评。</w:t>
      </w:r>
    </w:p>
    <w:p>
      <w:pPr>
        <w:pStyle w:val="7"/>
        <w:keepNext w:val="0"/>
        <w:keepLines w:val="0"/>
        <w:pageBreakBefore w:val="0"/>
        <w:widowControl/>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（三）</w:t>
      </w:r>
      <w:r>
        <w:rPr>
          <w:rStyle w:val="10"/>
          <w:rFonts w:hint="eastAsia" w:ascii="仿宋_GB2312" w:hAnsi="仿宋_GB2312" w:eastAsia="仿宋_GB2312" w:cs="仿宋_GB2312"/>
          <w:color w:val="000000" w:themeColor="text1"/>
          <w:sz w:val="32"/>
          <w:szCs w:val="32"/>
          <w14:textFill>
            <w14:solidFill>
              <w14:schemeClr w14:val="tx1"/>
            </w14:solidFill>
          </w14:textFill>
        </w:rPr>
        <w:t>安全测评服务</w:t>
      </w:r>
      <w:r>
        <w:rPr>
          <w:rFonts w:hint="eastAsia" w:ascii="仿宋_GB2312" w:hAnsi="仿宋_GB2312" w:eastAsia="仿宋_GB2312" w:cs="仿宋_GB2312"/>
          <w:b/>
          <w:bCs/>
          <w:sz w:val="32"/>
          <w:szCs w:val="32"/>
        </w:rPr>
        <w:t>实施要求</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供应商具有由公安部第三研究所认定《网络安全等级测评与检测评估机构服务认证证书》，须提供证书复印件。并确保项目在采购人条件成熟时立即开展实施；</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 xml:space="preserve">供应商在项目实施过程中应配合采购人的统一领导和协调，协助采购解决测评过程中可能发生的问题； </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供应商需根据自己的工程实施经验结合采购人的实际需求进一步细化和完善实施方案，作为工程实施的指导性文件；</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供应商应根据采购人工作需求、进度要求、实际情况制定详细的项目实施管理规范和项目实施计划，对项目目标、阶段性工作、项目组织机构、职责分工、项目进度、质量控制等内容进行详细的说明，以确保项目实施按时保质的完成；</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在项目实施途中，项目组人员未经采购人同意不得随意更换，项目小组成员不少于5人，项目负责人需由高级测评师担任，并派遣4名中级测评师分别负责主机层、应用层、数据层、网络层面的测评，提供测评师证书复印件，在网站http://www.djbh.</w:t>
      </w:r>
    </w:p>
    <w:p>
      <w:pPr>
        <w:keepNext w:val="0"/>
        <w:keepLines w:val="0"/>
        <w:pageBreakBefore w:val="0"/>
        <w:widowControl/>
        <w:kinsoku/>
        <w:wordWrap/>
        <w:overflowPunct/>
        <w:topLinePunct w:val="0"/>
        <w:autoSpaceDE/>
        <w:autoSpaceDN/>
        <w:bidi w:val="0"/>
        <w:adjustRightInd/>
        <w:snapToGrid/>
        <w:spacing w:before="75" w:after="75" w:line="500" w:lineRule="exact"/>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n</w:t>
      </w:r>
      <w:r>
        <w:rPr>
          <w:rFonts w:hint="eastAsia" w:ascii="仿宋_GB2312" w:hAnsi="仿宋_GB2312" w:eastAsia="仿宋_GB2312" w:cs="仿宋_GB2312"/>
          <w:color w:val="000000"/>
          <w:kern w:val="0"/>
          <w:sz w:val="32"/>
          <w:szCs w:val="32"/>
        </w:rPr>
        <w:t>et/能够查询人员相关信息（需提供相关证明材料）,以上人员请提供近6个月的任意一个月社保证明（不含投标当月）。</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6</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供应商针对本项目配备的团队中须具备系统备案地所在省网络安全等级保护专家委员会成员至少1名，以上人员请提供近6个月社保证明（不含投标当月）。</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7</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测评现场具有应急技术处理能力，供应商需提供连续三年系统备案地所在省，省市级及以上网安或网信的技术支撑单位（需提供相关证明材料）。</w:t>
      </w:r>
    </w:p>
    <w:p>
      <w:pPr>
        <w:pStyle w:val="7"/>
        <w:keepNext w:val="0"/>
        <w:keepLines w:val="0"/>
        <w:pageBreakBefore w:val="0"/>
        <w:widowControl/>
        <w:kinsoku/>
        <w:wordWrap/>
        <w:overflowPunct/>
        <w:topLinePunct w:val="0"/>
        <w:autoSpaceDE/>
        <w:autoSpaceDN/>
        <w:bidi w:val="0"/>
        <w:adjustRightInd/>
        <w:snapToGrid/>
        <w:spacing w:line="500" w:lineRule="exact"/>
        <w:ind w:firstLine="643" w:firstLineChars="200"/>
        <w:textAlignment w:val="auto"/>
        <w:rPr>
          <w:rStyle w:val="10"/>
          <w:rFonts w:hint="eastAsia" w:ascii="仿宋_GB2312" w:hAnsi="仿宋_GB2312" w:eastAsia="仿宋_GB2312" w:cs="仿宋_GB2312"/>
          <w:b w:val="0"/>
          <w:color w:val="000000" w:themeColor="text1"/>
          <w:sz w:val="32"/>
          <w:szCs w:val="32"/>
          <w14:textFill>
            <w14:solidFill>
              <w14:schemeClr w14:val="tx1"/>
            </w14:solidFill>
          </w14:textFill>
        </w:rPr>
      </w:pP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Style w:val="10"/>
          <w:rFonts w:hint="eastAsia" w:ascii="仿宋_GB2312" w:hAnsi="仿宋_GB2312" w:eastAsia="仿宋_GB2312" w:cs="仿宋_GB2312"/>
          <w:color w:val="000000" w:themeColor="text1"/>
          <w:sz w:val="32"/>
          <w:szCs w:val="32"/>
          <w14:textFill>
            <w14:solidFill>
              <w14:schemeClr w14:val="tx1"/>
            </w14:solidFill>
          </w14:textFill>
        </w:rPr>
        <w:t>安全测评</w:t>
      </w:r>
      <w:r>
        <w:rPr>
          <w:rStyle w:val="10"/>
          <w:rFonts w:hint="eastAsia" w:ascii="仿宋_GB2312" w:hAnsi="仿宋_GB2312" w:eastAsia="仿宋_GB2312" w:cs="仿宋_GB2312"/>
          <w:bCs/>
          <w:color w:val="000000" w:themeColor="text1"/>
          <w:sz w:val="32"/>
          <w:szCs w:val="32"/>
          <w14:textFill>
            <w14:solidFill>
              <w14:schemeClr w14:val="tx1"/>
            </w14:solidFill>
          </w14:textFill>
        </w:rPr>
        <w:t>原则</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等保测评实施方案设计与具体实施应满足以下原则：</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标准性原则：测评方案的设计与实施应依据国家等级保护的相关标准进行。</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规范性原则：供应商的工作中的过程和文档，具有很好的规范性，可以便于项目的跟踪和控制。</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可控性原则：测评服务的进度要跟上进度表的安排，保证谈判人对于测评工作的可控性。</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整体性原则：测评的范围和内容应当整体全面，包括国家等级保护相关要求涉及的各个层面。</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rPr>
        <w:t xml:space="preserve">最小影响原则：测评工作应尽可能小的影响系统和网络，并在可控范围内；测评工作不能对现有信息系统的正常运行、业务的正常开展产生任何影响。 </w:t>
      </w:r>
    </w:p>
    <w:p>
      <w:pPr>
        <w:keepNext w:val="0"/>
        <w:keepLines w:val="0"/>
        <w:pageBreakBefore w:val="0"/>
        <w:widowControl/>
        <w:kinsoku/>
        <w:wordWrap/>
        <w:overflowPunct/>
        <w:topLinePunct w:val="0"/>
        <w:autoSpaceDE/>
        <w:autoSpaceDN/>
        <w:bidi w:val="0"/>
        <w:adjustRightInd/>
        <w:snapToGrid/>
        <w:spacing w:before="75" w:after="75" w:line="500"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供应商应严格依照上述原则和国家等级保护相关标准开展项目实施工作。</w:t>
      </w:r>
    </w:p>
    <w:p>
      <w:pPr>
        <w:pStyle w:val="7"/>
        <w:keepNext w:val="0"/>
        <w:keepLines w:val="0"/>
        <w:pageBreakBefore w:val="0"/>
        <w:widowControl/>
        <w:kinsoku/>
        <w:wordWrap/>
        <w:overflowPunct/>
        <w:topLinePunct w:val="0"/>
        <w:autoSpaceDE/>
        <w:autoSpaceDN/>
        <w:bidi w:val="0"/>
        <w:adjustRightInd/>
        <w:snapToGrid/>
        <w:spacing w:line="500" w:lineRule="exact"/>
        <w:ind w:firstLine="643" w:firstLineChars="200"/>
        <w:textAlignment w:val="auto"/>
        <w:rPr>
          <w:rStyle w:val="10"/>
          <w:rFonts w:hint="eastAsia" w:ascii="仿宋_GB2312" w:hAnsi="仿宋_GB2312" w:eastAsia="仿宋_GB2312" w:cs="仿宋_GB2312"/>
          <w:b w:val="0"/>
          <w:color w:val="000000" w:themeColor="text1"/>
          <w:sz w:val="32"/>
          <w:szCs w:val="32"/>
          <w14:textFill>
            <w14:solidFill>
              <w14:schemeClr w14:val="tx1"/>
            </w14:solidFill>
          </w14:textFill>
        </w:rPr>
      </w:pP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Style w:val="10"/>
          <w:rFonts w:hint="eastAsia" w:ascii="仿宋_GB2312" w:hAnsi="仿宋_GB2312" w:eastAsia="仿宋_GB2312" w:cs="仿宋_GB2312"/>
          <w:color w:val="000000" w:themeColor="text1"/>
          <w:sz w:val="32"/>
          <w:szCs w:val="32"/>
          <w14:textFill>
            <w14:solidFill>
              <w14:schemeClr w14:val="tx1"/>
            </w14:solidFill>
          </w14:textFill>
        </w:rPr>
        <w:t>安全测评</w:t>
      </w:r>
      <w:r>
        <w:rPr>
          <w:rStyle w:val="10"/>
          <w:rFonts w:hint="eastAsia" w:ascii="仿宋_GB2312" w:hAnsi="仿宋_GB2312" w:eastAsia="仿宋_GB2312" w:cs="仿宋_GB2312"/>
          <w:bCs/>
          <w:color w:val="000000" w:themeColor="text1"/>
          <w:sz w:val="32"/>
          <w:szCs w:val="32"/>
          <w14:textFill>
            <w14:solidFill>
              <w14:schemeClr w14:val="tx1"/>
            </w14:solidFill>
          </w14:textFill>
        </w:rPr>
        <w:t>保密要求</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供应商必须和采购人签订保密协议，在合同签订时一并提供给采购人。</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供应商对本规范书中的内容及在应标过程中接触的设备信息、数据资料等负有保密责任，不得泄露给任何第三方；无论供应商成交与否，其对上述内容的保密责任将长期存在。</w:t>
      </w:r>
    </w:p>
    <w:bookmarkEnd w:id="0"/>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测评验收要求</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（1）验收标准：按《信息安全技术网络安全等级保护基本要求》（GB/T 22239-2019）。</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（2）提供《网络安全等级保护测评报告》（三级）。</w:t>
      </w:r>
    </w:p>
    <w:p>
      <w:pPr>
        <w:keepNext w:val="0"/>
        <w:keepLines w:val="0"/>
        <w:pageBreakBefore w:val="0"/>
        <w:widowControl/>
        <w:kinsoku/>
        <w:wordWrap/>
        <w:overflowPunct/>
        <w:topLinePunct w:val="0"/>
        <w:autoSpaceDE/>
        <w:autoSpaceDN/>
        <w:bidi w:val="0"/>
        <w:adjustRightInd/>
        <w:snapToGrid/>
        <w:spacing w:line="500" w:lineRule="exact"/>
        <w:ind w:left="643" w:hanging="643" w:hangingChars="200"/>
        <w:jc w:val="left"/>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b/>
          <w:bCs/>
          <w:color w:val="000000"/>
          <w:kern w:val="0"/>
          <w:sz w:val="32"/>
          <w:szCs w:val="32"/>
        </w:rPr>
        <w:t>三、</w:t>
      </w:r>
      <w:r>
        <w:rPr>
          <w:rFonts w:hint="eastAsia" w:ascii="仿宋_GB2312" w:hAnsi="仿宋_GB2312" w:eastAsia="仿宋_GB2312" w:cs="仿宋_GB2312"/>
          <w:b/>
          <w:bCs/>
          <w:color w:val="000000"/>
          <w:kern w:val="0"/>
          <w:sz w:val="32"/>
          <w:szCs w:val="32"/>
          <w:lang w:eastAsia="zh-CN"/>
        </w:rPr>
        <w:t>其他要求</w:t>
      </w:r>
      <w:r>
        <w:rPr>
          <w:rFonts w:hint="eastAsia" w:ascii="仿宋_GB2312" w:hAnsi="仿宋_GB2312" w:eastAsia="仿宋_GB2312" w:cs="仿宋_GB2312"/>
          <w:color w:val="000000"/>
          <w:kern w:val="0"/>
          <w:sz w:val="32"/>
          <w:szCs w:val="32"/>
        </w:rPr>
        <w:br w:type="textWrapping"/>
      </w:r>
      <w:bookmarkStart w:id="1" w:name="_GoBack"/>
      <w:bookmarkEnd w:id="1"/>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交付时间：合同签订后 (</w:t>
      </w:r>
      <w:r>
        <w:rPr>
          <w:rFonts w:hint="eastAsia" w:ascii="仿宋_GB2312" w:hAnsi="仿宋_GB2312" w:eastAsia="仿宋_GB2312" w:cs="仿宋_GB2312"/>
          <w:color w:val="000000"/>
          <w:kern w:val="0"/>
          <w:sz w:val="32"/>
          <w:szCs w:val="32"/>
          <w:lang w:val="en-US" w:eastAsia="zh-CN"/>
        </w:rPr>
        <w:t>180</w:t>
      </w:r>
      <w:r>
        <w:rPr>
          <w:rFonts w:hint="eastAsia" w:ascii="仿宋_GB2312" w:hAnsi="仿宋_GB2312" w:eastAsia="仿宋_GB2312" w:cs="仿宋_GB2312"/>
          <w:color w:val="000000"/>
          <w:kern w:val="0"/>
          <w:sz w:val="32"/>
          <w:szCs w:val="32"/>
        </w:rPr>
        <w:t>) 天内</w:t>
      </w:r>
      <w:r>
        <w:rPr>
          <w:rFonts w:hint="eastAsia" w:ascii="仿宋_GB2312" w:hAnsi="仿宋_GB2312" w:eastAsia="仿宋_GB2312" w:cs="仿宋_GB2312"/>
          <w:color w:val="000000"/>
          <w:kern w:val="0"/>
          <w:sz w:val="32"/>
          <w:szCs w:val="32"/>
          <w:lang w:eastAsia="zh-CN"/>
        </w:rPr>
        <w:t>完成项目并验收</w:t>
      </w:r>
      <w:r>
        <w:rPr>
          <w:rFonts w:hint="eastAsia" w:ascii="仿宋_GB2312" w:hAnsi="仿宋_GB2312" w:eastAsia="仿宋_GB2312" w:cs="仿宋_GB2312"/>
          <w:color w:val="000000"/>
          <w:kern w:val="0"/>
          <w:sz w:val="32"/>
          <w:szCs w:val="32"/>
        </w:rPr>
        <w:br w:type="textWrapping"/>
      </w: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交付条件：验收合格</w:t>
      </w:r>
      <w:r>
        <w:rPr>
          <w:rFonts w:hint="eastAsia" w:ascii="仿宋_GB2312" w:hAnsi="仿宋_GB2312" w:eastAsia="仿宋_GB2312" w:cs="仿宋_GB2312"/>
          <w:color w:val="000000"/>
          <w:kern w:val="0"/>
          <w:sz w:val="32"/>
          <w:szCs w:val="32"/>
        </w:rPr>
        <w:br w:type="textWrapping"/>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是否收取履约保证金：否</w:t>
      </w:r>
      <w:r>
        <w:rPr>
          <w:rFonts w:hint="eastAsia" w:ascii="仿宋_GB2312" w:hAnsi="仿宋_GB2312" w:eastAsia="仿宋_GB2312" w:cs="仿宋_GB2312"/>
          <w:color w:val="000000"/>
          <w:kern w:val="0"/>
          <w:sz w:val="32"/>
          <w:szCs w:val="32"/>
        </w:rPr>
        <w:br w:type="textWrapping"/>
      </w: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支付方式</w:t>
      </w:r>
      <w:r>
        <w:rPr>
          <w:rFonts w:hint="eastAsia" w:ascii="仿宋_GB2312" w:hAnsi="仿宋_GB2312" w:eastAsia="仿宋_GB2312" w:cs="仿宋_GB2312"/>
          <w:color w:val="000000"/>
          <w:kern w:val="0"/>
          <w:sz w:val="32"/>
          <w:szCs w:val="32"/>
          <w:lang w:eastAsia="zh-CN"/>
        </w:rPr>
        <w:t>：</w:t>
      </w:r>
    </w:p>
    <w:tbl>
      <w:tblPr>
        <w:tblStyle w:val="8"/>
        <w:tblW w:w="5305"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424"/>
        <w:gridCol w:w="1804"/>
        <w:gridCol w:w="621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blCellSpacing w:w="0" w:type="dxa"/>
        </w:trPr>
        <w:tc>
          <w:tcPr>
            <w:tcW w:w="754" w:type="pct"/>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支付期次</w:t>
            </w:r>
          </w:p>
        </w:tc>
        <w:tc>
          <w:tcPr>
            <w:tcW w:w="955" w:type="pct"/>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支付比例(%)</w:t>
            </w:r>
          </w:p>
        </w:tc>
        <w:tc>
          <w:tcPr>
            <w:tcW w:w="3290" w:type="pct"/>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支付期次说明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754" w:type="pct"/>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p>
        </w:tc>
        <w:tc>
          <w:tcPr>
            <w:tcW w:w="955" w:type="pct"/>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40</w:t>
            </w:r>
          </w:p>
        </w:tc>
        <w:tc>
          <w:tcPr>
            <w:tcW w:w="3290" w:type="pct"/>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sz w:val="32"/>
                <w:szCs w:val="32"/>
              </w:rPr>
              <w:t>招标人与中标单位签订合同，</w:t>
            </w:r>
            <w:r>
              <w:rPr>
                <w:rFonts w:hint="eastAsia" w:ascii="仿宋_GB2312" w:hAnsi="仿宋_GB2312" w:eastAsia="仿宋_GB2312" w:cs="仿宋_GB2312"/>
                <w:color w:val="000000"/>
                <w:kern w:val="0"/>
                <w:sz w:val="32"/>
                <w:szCs w:val="32"/>
              </w:rPr>
              <w:t>待收到中标单位提供的正式发票后10个工作日内支付</w:t>
            </w:r>
            <w:r>
              <w:rPr>
                <w:rFonts w:hint="eastAsia" w:ascii="仿宋_GB2312" w:hAnsi="仿宋_GB2312" w:eastAsia="仿宋_GB2312" w:cs="仿宋_GB2312"/>
                <w:color w:val="000000"/>
                <w:kern w:val="0"/>
                <w:sz w:val="32"/>
                <w:szCs w:val="32"/>
                <w:lang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754" w:type="pct"/>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w:t>
            </w:r>
          </w:p>
        </w:tc>
        <w:tc>
          <w:tcPr>
            <w:tcW w:w="955" w:type="pct"/>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6</w:t>
            </w:r>
            <w:r>
              <w:rPr>
                <w:rFonts w:hint="eastAsia" w:ascii="仿宋_GB2312" w:hAnsi="仿宋_GB2312" w:eastAsia="仿宋_GB2312" w:cs="仿宋_GB2312"/>
                <w:color w:val="000000"/>
                <w:kern w:val="0"/>
                <w:sz w:val="32"/>
                <w:szCs w:val="32"/>
              </w:rPr>
              <w:t>0</w:t>
            </w:r>
          </w:p>
        </w:tc>
        <w:tc>
          <w:tcPr>
            <w:tcW w:w="3290" w:type="pct"/>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招标人收到信息安全等级保护测评机构出具测评报告后，</w:t>
            </w:r>
            <w:r>
              <w:rPr>
                <w:rFonts w:hint="eastAsia" w:ascii="仿宋_GB2312" w:hAnsi="仿宋_GB2312" w:eastAsia="仿宋_GB2312" w:cs="仿宋_GB2312"/>
                <w:color w:val="000000"/>
                <w:kern w:val="0"/>
                <w:sz w:val="32"/>
                <w:szCs w:val="32"/>
              </w:rPr>
              <w:t>待收到中标单位提供的正式发票后10个工作日内支付</w:t>
            </w:r>
            <w:r>
              <w:rPr>
                <w:rFonts w:hint="eastAsia" w:ascii="仿宋_GB2312" w:hAnsi="仿宋_GB2312" w:eastAsia="仿宋_GB2312" w:cs="仿宋_GB2312"/>
                <w:color w:val="000000"/>
                <w:kern w:val="0"/>
                <w:sz w:val="32"/>
                <w:szCs w:val="32"/>
                <w:lang w:eastAsia="zh-CN"/>
              </w:rPr>
              <w:t>。</w:t>
            </w:r>
          </w:p>
        </w:tc>
      </w:tr>
    </w:tbl>
    <w:p>
      <w:pPr>
        <w:keepNext w:val="0"/>
        <w:keepLines w:val="0"/>
        <w:pageBreakBefore w:val="0"/>
        <w:widowControl/>
        <w:kinsoku/>
        <w:wordWrap/>
        <w:overflowPunct/>
        <w:topLinePunct w:val="0"/>
        <w:autoSpaceDE/>
        <w:autoSpaceDN/>
        <w:bidi w:val="0"/>
        <w:adjustRightInd/>
        <w:snapToGrid/>
        <w:spacing w:before="75" w:after="75" w:line="500" w:lineRule="exact"/>
        <w:jc w:val="left"/>
        <w:textAlignment w:val="auto"/>
        <w:rPr>
          <w:rFonts w:hint="eastAsia" w:ascii="仿宋_GB2312" w:hAnsi="仿宋_GB2312" w:eastAsia="仿宋_GB2312" w:cs="仿宋_GB2312"/>
          <w:color w:val="000000"/>
          <w:kern w:val="0"/>
          <w:sz w:val="32"/>
          <w:szCs w:val="32"/>
        </w:rPr>
      </w:pPr>
    </w:p>
    <w:sectPr>
      <w:footerReference r:id="rId3" w:type="default"/>
      <w:pgSz w:w="11906" w:h="16838"/>
      <w:pgMar w:top="2120" w:right="1519" w:bottom="1497" w:left="151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yZjMwN2Q0ZjkwNzkxNGE4YTc2NTJhNzM5YmU0MjIifQ=="/>
  </w:docVars>
  <w:rsids>
    <w:rsidRoot w:val="002D7BB0"/>
    <w:rsid w:val="00016328"/>
    <w:rsid w:val="000175A6"/>
    <w:rsid w:val="000354D0"/>
    <w:rsid w:val="00066429"/>
    <w:rsid w:val="000A5C96"/>
    <w:rsid w:val="000D1E0E"/>
    <w:rsid w:val="000E4CC2"/>
    <w:rsid w:val="00106EB0"/>
    <w:rsid w:val="00121568"/>
    <w:rsid w:val="0012296D"/>
    <w:rsid w:val="00134AE1"/>
    <w:rsid w:val="00145F5C"/>
    <w:rsid w:val="00166AA6"/>
    <w:rsid w:val="001A3ADB"/>
    <w:rsid w:val="001D4FFC"/>
    <w:rsid w:val="001F1F5F"/>
    <w:rsid w:val="002647A9"/>
    <w:rsid w:val="00273775"/>
    <w:rsid w:val="00274816"/>
    <w:rsid w:val="00276402"/>
    <w:rsid w:val="002C09B8"/>
    <w:rsid w:val="002D7BB0"/>
    <w:rsid w:val="002E5804"/>
    <w:rsid w:val="0030758D"/>
    <w:rsid w:val="00315492"/>
    <w:rsid w:val="0035560A"/>
    <w:rsid w:val="00387435"/>
    <w:rsid w:val="00397DD1"/>
    <w:rsid w:val="003B5FEB"/>
    <w:rsid w:val="003B76E3"/>
    <w:rsid w:val="003D282D"/>
    <w:rsid w:val="004272CB"/>
    <w:rsid w:val="00436AFD"/>
    <w:rsid w:val="0047308E"/>
    <w:rsid w:val="0048150E"/>
    <w:rsid w:val="00484302"/>
    <w:rsid w:val="00487501"/>
    <w:rsid w:val="004C2C9D"/>
    <w:rsid w:val="004C7F03"/>
    <w:rsid w:val="004F305C"/>
    <w:rsid w:val="005331BB"/>
    <w:rsid w:val="0054599A"/>
    <w:rsid w:val="005519BA"/>
    <w:rsid w:val="00593219"/>
    <w:rsid w:val="005D5D22"/>
    <w:rsid w:val="005E7312"/>
    <w:rsid w:val="00621CB0"/>
    <w:rsid w:val="006357BA"/>
    <w:rsid w:val="006448DD"/>
    <w:rsid w:val="00644AAF"/>
    <w:rsid w:val="00670E3B"/>
    <w:rsid w:val="00676A1B"/>
    <w:rsid w:val="0069096E"/>
    <w:rsid w:val="006933C0"/>
    <w:rsid w:val="00694A8E"/>
    <w:rsid w:val="006B759C"/>
    <w:rsid w:val="006C0BFF"/>
    <w:rsid w:val="006D7269"/>
    <w:rsid w:val="006E7D69"/>
    <w:rsid w:val="00726268"/>
    <w:rsid w:val="00756D6D"/>
    <w:rsid w:val="00765DB9"/>
    <w:rsid w:val="00766FD4"/>
    <w:rsid w:val="007803EC"/>
    <w:rsid w:val="0079112E"/>
    <w:rsid w:val="00791BFE"/>
    <w:rsid w:val="007B077E"/>
    <w:rsid w:val="007D6681"/>
    <w:rsid w:val="007F7DCE"/>
    <w:rsid w:val="00811E4D"/>
    <w:rsid w:val="0082085E"/>
    <w:rsid w:val="00827FAA"/>
    <w:rsid w:val="0083516B"/>
    <w:rsid w:val="00862D93"/>
    <w:rsid w:val="00876897"/>
    <w:rsid w:val="008C398F"/>
    <w:rsid w:val="008D14FB"/>
    <w:rsid w:val="008F4B94"/>
    <w:rsid w:val="00982F60"/>
    <w:rsid w:val="00997DAF"/>
    <w:rsid w:val="009C6133"/>
    <w:rsid w:val="009D1934"/>
    <w:rsid w:val="00A12D71"/>
    <w:rsid w:val="00A239EE"/>
    <w:rsid w:val="00A41B48"/>
    <w:rsid w:val="00A56733"/>
    <w:rsid w:val="00A66FC3"/>
    <w:rsid w:val="00A70DE5"/>
    <w:rsid w:val="00A75DB4"/>
    <w:rsid w:val="00AA6BE6"/>
    <w:rsid w:val="00AD016B"/>
    <w:rsid w:val="00B07635"/>
    <w:rsid w:val="00B31A8A"/>
    <w:rsid w:val="00B56BE8"/>
    <w:rsid w:val="00BC4932"/>
    <w:rsid w:val="00BC4D3D"/>
    <w:rsid w:val="00BF07B0"/>
    <w:rsid w:val="00C0575A"/>
    <w:rsid w:val="00C1034B"/>
    <w:rsid w:val="00C91F2D"/>
    <w:rsid w:val="00C97D04"/>
    <w:rsid w:val="00CA36D1"/>
    <w:rsid w:val="00CA4754"/>
    <w:rsid w:val="00CB7EC5"/>
    <w:rsid w:val="00CC2188"/>
    <w:rsid w:val="00CD3D18"/>
    <w:rsid w:val="00D16B65"/>
    <w:rsid w:val="00D52304"/>
    <w:rsid w:val="00D808C3"/>
    <w:rsid w:val="00D92AC4"/>
    <w:rsid w:val="00DC41FB"/>
    <w:rsid w:val="00DD45E0"/>
    <w:rsid w:val="00DE2651"/>
    <w:rsid w:val="00DF0A42"/>
    <w:rsid w:val="00E0454C"/>
    <w:rsid w:val="00E50CC5"/>
    <w:rsid w:val="00E60013"/>
    <w:rsid w:val="00E70964"/>
    <w:rsid w:val="00E70BD5"/>
    <w:rsid w:val="00E95410"/>
    <w:rsid w:val="00EB15AB"/>
    <w:rsid w:val="00EF3757"/>
    <w:rsid w:val="00F1001A"/>
    <w:rsid w:val="00F83162"/>
    <w:rsid w:val="00F83228"/>
    <w:rsid w:val="00F8432F"/>
    <w:rsid w:val="00FA6413"/>
    <w:rsid w:val="00FB35F2"/>
    <w:rsid w:val="00FB695B"/>
    <w:rsid w:val="00FC25D9"/>
    <w:rsid w:val="04B3453A"/>
    <w:rsid w:val="05CB7E52"/>
    <w:rsid w:val="097E27F0"/>
    <w:rsid w:val="0A045955"/>
    <w:rsid w:val="0AFA5870"/>
    <w:rsid w:val="0B1E5D71"/>
    <w:rsid w:val="13B32A60"/>
    <w:rsid w:val="175E3ABC"/>
    <w:rsid w:val="18995BB6"/>
    <w:rsid w:val="18B13FDD"/>
    <w:rsid w:val="19BD0D56"/>
    <w:rsid w:val="1AF05977"/>
    <w:rsid w:val="1CD04682"/>
    <w:rsid w:val="1CFF30E4"/>
    <w:rsid w:val="1D3E0C00"/>
    <w:rsid w:val="1FE412BF"/>
    <w:rsid w:val="22E36792"/>
    <w:rsid w:val="2685028B"/>
    <w:rsid w:val="269F1FB9"/>
    <w:rsid w:val="3B965031"/>
    <w:rsid w:val="42C122F6"/>
    <w:rsid w:val="49817E5F"/>
    <w:rsid w:val="4E2B2C17"/>
    <w:rsid w:val="524D13AE"/>
    <w:rsid w:val="537F42BA"/>
    <w:rsid w:val="53A86F0D"/>
    <w:rsid w:val="54030A93"/>
    <w:rsid w:val="543C16DA"/>
    <w:rsid w:val="587E5B38"/>
    <w:rsid w:val="69C57CA2"/>
    <w:rsid w:val="6A905E02"/>
    <w:rsid w:val="6AC52178"/>
    <w:rsid w:val="6E25552A"/>
    <w:rsid w:val="6F653D83"/>
    <w:rsid w:val="72011495"/>
    <w:rsid w:val="740767EA"/>
    <w:rsid w:val="7D2F6C9C"/>
    <w:rsid w:val="7EA90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link w:val="11"/>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Body Text Indent"/>
    <w:basedOn w:val="1"/>
    <w:link w:val="18"/>
    <w:semiHidden/>
    <w:unhideWhenUsed/>
    <w:qFormat/>
    <w:uiPriority w:val="99"/>
    <w:pPr>
      <w:spacing w:after="120"/>
      <w:ind w:left="420" w:leftChars="200"/>
    </w:pPr>
  </w:style>
  <w:style w:type="paragraph" w:styleId="5">
    <w:name w:val="footer"/>
    <w:basedOn w:val="1"/>
    <w:link w:val="13"/>
    <w:unhideWhenUsed/>
    <w:uiPriority w:val="99"/>
    <w:pPr>
      <w:tabs>
        <w:tab w:val="center" w:pos="4153"/>
        <w:tab w:val="right" w:pos="8306"/>
      </w:tabs>
      <w:snapToGrid w:val="0"/>
      <w:jc w:val="left"/>
    </w:pPr>
    <w:rPr>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szCs w:val="24"/>
    </w:rPr>
  </w:style>
  <w:style w:type="character" w:styleId="10">
    <w:name w:val="Strong"/>
    <w:qFormat/>
    <w:uiPriority w:val="0"/>
    <w:rPr>
      <w:b/>
    </w:rPr>
  </w:style>
  <w:style w:type="character" w:customStyle="1" w:styleId="11">
    <w:name w:val="标题 3 字符"/>
    <w:link w:val="3"/>
    <w:qFormat/>
    <w:uiPriority w:val="9"/>
    <w:rPr>
      <w:rFonts w:ascii="宋体" w:hAnsi="宋体" w:eastAsia="宋体" w:cs="宋体"/>
      <w:b/>
      <w:bCs/>
      <w:kern w:val="0"/>
      <w:sz w:val="27"/>
      <w:szCs w:val="27"/>
    </w:rPr>
  </w:style>
  <w:style w:type="character" w:customStyle="1" w:styleId="12">
    <w:name w:val="页眉 字符"/>
    <w:link w:val="6"/>
    <w:qFormat/>
    <w:uiPriority w:val="99"/>
    <w:rPr>
      <w:kern w:val="2"/>
      <w:sz w:val="18"/>
      <w:szCs w:val="18"/>
    </w:rPr>
  </w:style>
  <w:style w:type="character" w:customStyle="1" w:styleId="13">
    <w:name w:val="页脚 字符"/>
    <w:link w:val="5"/>
    <w:qFormat/>
    <w:uiPriority w:val="99"/>
    <w:rPr>
      <w:kern w:val="2"/>
      <w:sz w:val="18"/>
      <w:szCs w:val="18"/>
    </w:rPr>
  </w:style>
  <w:style w:type="paragraph" w:customStyle="1" w:styleId="14">
    <w:name w:val="样式 样式 样式1 + 左侧:  0.67 字符 + 左侧:  0.67 字符"/>
    <w:basedOn w:val="1"/>
    <w:uiPriority w:val="0"/>
    <w:pPr>
      <w:spacing w:line="360" w:lineRule="auto"/>
      <w:ind w:left="161" w:leftChars="67" w:firstLine="566" w:firstLineChars="236"/>
    </w:pPr>
    <w:rPr>
      <w:rFonts w:ascii="宋体" w:hAnsi="宋体" w:cs="宋体"/>
      <w:sz w:val="24"/>
      <w:szCs w:val="20"/>
    </w:rPr>
  </w:style>
  <w:style w:type="paragraph" w:customStyle="1" w:styleId="15">
    <w:name w:val="正文首行缩进（绿盟科技）"/>
    <w:basedOn w:val="1"/>
    <w:link w:val="16"/>
    <w:qFormat/>
    <w:uiPriority w:val="0"/>
    <w:pPr>
      <w:widowControl/>
      <w:spacing w:after="50" w:line="300" w:lineRule="auto"/>
      <w:ind w:firstLine="200" w:firstLineChars="200"/>
      <w:jc w:val="left"/>
    </w:pPr>
    <w:rPr>
      <w:rFonts w:ascii="Arial" w:hAnsi="Arial"/>
      <w:szCs w:val="21"/>
    </w:rPr>
  </w:style>
  <w:style w:type="character" w:customStyle="1" w:styleId="16">
    <w:name w:val="正文首行缩进（绿盟科技） Char"/>
    <w:link w:val="15"/>
    <w:qFormat/>
    <w:uiPriority w:val="0"/>
    <w:rPr>
      <w:rFonts w:ascii="Arial" w:hAnsi="Arial"/>
      <w:kern w:val="2"/>
      <w:sz w:val="21"/>
      <w:szCs w:val="21"/>
    </w:rPr>
  </w:style>
  <w:style w:type="paragraph" w:customStyle="1" w:styleId="17">
    <w:name w:val="正文首行缩进 21"/>
    <w:basedOn w:val="4"/>
    <w:qFormat/>
    <w:uiPriority w:val="0"/>
    <w:pPr>
      <w:spacing w:after="0"/>
      <w:ind w:left="0" w:leftChars="0" w:firstLine="420"/>
    </w:pPr>
    <w:rPr>
      <w:rFonts w:eastAsia="仿宋_GB2312"/>
      <w:kern w:val="1"/>
      <w:sz w:val="32"/>
      <w:szCs w:val="24"/>
    </w:rPr>
  </w:style>
  <w:style w:type="character" w:customStyle="1" w:styleId="18">
    <w:name w:val="正文文本缩进 字符"/>
    <w:basedOn w:val="9"/>
    <w:link w:val="4"/>
    <w:semiHidden/>
    <w:qFormat/>
    <w:uiPriority w:val="99"/>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1937</Words>
  <Characters>2012</Characters>
  <Lines>18</Lines>
  <Paragraphs>5</Paragraphs>
  <TotalTime>9</TotalTime>
  <ScaleCrop>false</ScaleCrop>
  <LinksUpToDate>false</LinksUpToDate>
  <CharactersWithSpaces>2032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2022-11-30T01:07:00Z</dcterms:created>
  <dc:creator>NTKO</dc:creator>
  <cp:lastModifiedBy>nemo</cp:lastModifiedBy>
  <cp:lastPrinted>2023-10-08T08:52:00Z</cp:lastPrinted>
  <dcterms:modified xsi:type="dcterms:W3CDTF">2023-10-09T08:22:24Z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D8BF950F362B48F297F4D5D9319EA7FC</vt:lpwstr>
  </property>
</Properties>
</file>